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rPr>
          <w:rFonts w:ascii="Calibri" w:cs="Calibri" w:eastAsia="Calibri" w:hAnsi="Calibri"/>
          <w:b/>
          <w:bCs/>
          <w:sz w:val="32"/>
          <w:szCs w:val="32"/>
        </w:rPr>
        <w:t xml:space="preserve">CONSENT TO THE PUBLIC DISTRIBUTION OF PERSONAL DATA</w:t>
      </w:r>
    </w:p>
    <w:p>
      <w:pPr>
        <w:spacing w:after="60"/>
      </w:pPr>
      <w:r>
        <w:rPr>
          <w:rFonts w:ascii="Calibri" w:cs="Calibri" w:eastAsia="Calibri" w:hAnsi="Calibri"/>
          <w:color w:val="666666"/>
          <w:sz w:val="20"/>
          <w:szCs w:val="20"/>
        </w:rPr>
        <w:t xml:space="preserve">Effective date: March 23, 2026</w:t>
      </w:r>
    </w:p>
    <w:p>
      <w:pPr>
        <w:spacing w:after="120"/>
      </w:pPr>
    </w:p>
    <w:p>
      <w:pPr>
        <w:spacing w:after="120"/>
      </w:pPr>
      <w:r>
        <w:rPr>
          <w:rFonts w:ascii="Calibri" w:cs="Calibri" w:eastAsia="Calibri" w:hAnsi="Calibri"/>
          <w:sz w:val="24"/>
          <w:szCs w:val="24"/>
        </w:rPr>
        <w:t xml:space="preserve">This is a standalone consent. It authorises one thing: the publication of a single card containing the personal data listed in section 3 on the public accounts listed in section 4. The Anketta service can be used in full without giving it, and it can be withdrawn at any time as described in section 10.</w:t>
      </w:r>
    </w:p>
    <w:p>
      <w:pPr>
        <w:spacing w:after="120"/>
      </w:pPr>
      <w:r>
        <w:rPr>
          <w:rFonts w:ascii="Calibri" w:cs="Calibri" w:eastAsia="Calibri" w:hAnsi="Calibri"/>
          <w:sz w:val="24"/>
          <w:szCs w:val="24"/>
        </w:rPr>
        <w:t xml:space="preserve">By giving this consent I, a user of the Anketta service (https://anketta.ru) (the "Data Subject"), consent under Article 6(1)(a) of Regulation (EU) 2016/679 (the "GDPR") to the processing of my personal data by Individual Entrepreneur Evgenii Rodionov (the "Operator") for the purposes and on the terms set out below.</w:t>
      </w:r>
    </w:p>
    <w:p>
      <w:pPr>
        <w:spacing w:after="120"/>
      </w:pPr>
    </w:p>
    <w:p>
      <w:pPr>
        <w:spacing w:after="150" w:before="300"/>
      </w:pPr>
      <w:r>
        <w:rPr>
          <w:rFonts w:ascii="Calibri" w:cs="Calibri" w:eastAsia="Calibri" w:hAnsi="Calibri"/>
          <w:b/>
          <w:bCs/>
          <w:sz w:val="28"/>
          <w:szCs w:val="28"/>
        </w:rPr>
        <w:t xml:space="preserve">1. What this consent covers</w:t>
      </w:r>
    </w:p>
    <w:p>
      <w:pPr>
        <w:spacing w:after="120"/>
      </w:pPr>
      <w:r>
        <w:rPr>
          <w:rFonts w:ascii="Calibri" w:cs="Calibri" w:eastAsia="Calibri" w:hAnsi="Calibri"/>
          <w:sz w:val="24"/>
          <w:szCs w:val="24"/>
        </w:rPr>
        <w:t xml:space="preserve">The Operator publishes a card — a single image — on its own public accounts. The card contains a passage from the Data Subject's manuscript together with the accompanying information listed in section 3. The card is the only material published under this consent, and its composition does not vary.</w:t>
      </w:r>
    </w:p>
    <w:p>
      <w:pPr>
        <w:spacing w:after="120"/>
      </w:pPr>
      <w:r>
        <w:rPr>
          <w:rFonts w:ascii="Calibri" w:cs="Calibri" w:eastAsia="Calibri" w:hAnsi="Calibri"/>
          <w:sz w:val="24"/>
          <w:szCs w:val="24"/>
        </w:rPr>
        <w:t xml:space="preserve">This consent is separate from every other consent and from the Operator's Privacy Policy. Refusing it, or withdrawing it later, does not restrict access to the Anketta service in any way and has no effect on any other processing.</w:t>
      </w:r>
    </w:p>
    <w:p>
      <w:pPr>
        <w:spacing w:after="150" w:before="300"/>
      </w:pPr>
      <w:r>
        <w:rPr>
          <w:rFonts w:ascii="Calibri" w:cs="Calibri" w:eastAsia="Calibri" w:hAnsi="Calibri"/>
          <w:b/>
          <w:bCs/>
          <w:sz w:val="28"/>
          <w:szCs w:val="28"/>
        </w:rPr>
        <w:t xml:space="preserve">2. Who is the controller</w:t>
      </w:r>
    </w:p>
    <w:p>
      <w:pPr>
        <w:spacing w:after="120"/>
      </w:pPr>
      <w:r>
        <w:rPr>
          <w:rFonts w:ascii="Calibri" w:cs="Calibri" w:eastAsia="Calibri" w:hAnsi="Calibri"/>
          <w:sz w:val="24"/>
          <w:szCs w:val="24"/>
        </w:rPr>
        <w:t xml:space="preserve">The controller of the personal data described in this document is:</w:t>
      </w:r>
    </w:p>
    <w:p>
      <w:pPr>
        <w:spacing w:after="120"/>
      </w:pPr>
      <w:r>
        <w:rPr>
          <w:rFonts w:ascii="Calibri" w:cs="Calibri" w:eastAsia="Calibri" w:hAnsi="Calibri"/>
          <w:sz w:val="24"/>
          <w:szCs w:val="24"/>
        </w:rPr>
        <w:t xml:space="preserve">Name: Individual Entrepreneur Evgenii Rodionov</w:t>
      </w:r>
    </w:p>
    <w:p>
      <w:pPr>
        <w:spacing w:after="120"/>
      </w:pPr>
      <w:r>
        <w:rPr>
          <w:rFonts w:ascii="Calibri" w:cs="Calibri" w:eastAsia="Calibri" w:hAnsi="Calibri"/>
          <w:sz w:val="24"/>
          <w:szCs w:val="24"/>
        </w:rPr>
        <w:t xml:space="preserve">Registration number (OGRNIP): 322508100487690</w:t>
      </w:r>
    </w:p>
    <w:p>
      <w:pPr>
        <w:spacing w:after="120"/>
      </w:pPr>
      <w:r>
        <w:rPr>
          <w:rFonts w:ascii="Calibri" w:cs="Calibri" w:eastAsia="Calibri" w:hAnsi="Calibri"/>
          <w:sz w:val="24"/>
          <w:szCs w:val="24"/>
        </w:rPr>
        <w:t xml:space="preserve">Tax ID (INN): 504034486615</w:t>
      </w:r>
    </w:p>
    <w:p>
      <w:pPr>
        <w:spacing w:after="120"/>
      </w:pPr>
      <w:r>
        <w:rPr>
          <w:rFonts w:ascii="Calibri" w:cs="Calibri" w:eastAsia="Calibri" w:hAnsi="Calibri"/>
          <w:sz w:val="24"/>
          <w:szCs w:val="24"/>
        </w:rPr>
        <w:t xml:space="preserve">Address: 140125, Moscow Oblast, Ramensky District, Kulakovo Village, Tsentralnaya Street, Building 111</w:t>
      </w:r>
    </w:p>
    <w:p>
      <w:pPr>
        <w:spacing w:after="120"/>
      </w:pPr>
      <w:r>
        <w:rPr>
          <w:rFonts w:ascii="Calibri" w:cs="Calibri" w:eastAsia="Calibri" w:hAnsi="Calibri"/>
          <w:sz w:val="24"/>
          <w:szCs w:val="24"/>
        </w:rPr>
        <w:t xml:space="preserve">Email: legal@mail.anketta.ru</w:t>
      </w:r>
    </w:p>
    <w:p>
      <w:pPr>
        <w:spacing w:after="120"/>
      </w:pPr>
      <w:r>
        <w:rPr>
          <w:rFonts w:ascii="Calibri" w:cs="Calibri" w:eastAsia="Calibri" w:hAnsi="Calibri"/>
          <w:sz w:val="24"/>
          <w:szCs w:val="24"/>
        </w:rPr>
        <w:t xml:space="preserve">Phone: +7 (999) 864-55-35</w:t>
      </w:r>
    </w:p>
    <w:p>
      <w:pPr>
        <w:spacing w:after="120"/>
      </w:pPr>
      <w:r>
        <w:rPr>
          <w:rFonts w:ascii="Calibri" w:cs="Calibri" w:eastAsia="Calibri" w:hAnsi="Calibri"/>
          <w:sz w:val="24"/>
          <w:szCs w:val="24"/>
        </w:rPr>
        <w:t xml:space="preserve">The Operator is established in the Russian Federation. Where the Data Subject is in the European Union or the European Economic Area, this processing is nevertheless subject to the GDPR under its Article 3(2), because the Anketta service is offered to data subjects in those territories.</w:t>
      </w:r>
    </w:p>
    <w:p>
      <w:pPr>
        <w:spacing w:after="150" w:before="300"/>
      </w:pPr>
      <w:r>
        <w:rPr>
          <w:rFonts w:ascii="Calibri" w:cs="Calibri" w:eastAsia="Calibri" w:hAnsi="Calibri"/>
          <w:b/>
          <w:bCs/>
          <w:sz w:val="28"/>
          <w:szCs w:val="28"/>
        </w:rPr>
        <w:t xml:space="preserve">3. What will be published</w:t>
      </w:r>
    </w:p>
    <w:p>
      <w:pPr>
        <w:spacing w:after="120"/>
      </w:pPr>
      <w:r>
        <w:rPr>
          <w:rFonts w:ascii="Calibri" w:cs="Calibri" w:eastAsia="Calibri" w:hAnsi="Calibri"/>
          <w:sz w:val="24"/>
          <w:szCs w:val="24"/>
        </w:rPr>
        <w:t xml:space="preserve">The card is a single image of unchanging composition, and all five of the categories below form part of it:</w:t>
      </w:r>
    </w:p>
    <w:p>
      <w:pPr>
        <w:pStyle w:val="ListParagraph"/>
        <w:numPr>
          <w:ilvl w:val="0"/>
          <w:numId w:val="1"/>
        </w:numPr>
        <w:spacing w:after="60"/>
      </w:pPr>
      <w:r>
        <w:rPr>
          <w:rFonts w:ascii="Calibri" w:cs="Calibri" w:eastAsia="Calibri" w:hAnsi="Calibri"/>
          <w:sz w:val="24"/>
          <w:szCs w:val="24"/>
        </w:rPr>
        <w:t xml:space="preserve">a passage from the manuscript — an extract of text written and published by the Data Subject in the service;</w:t>
      </w:r>
    </w:p>
    <w:p>
      <w:pPr>
        <w:pStyle w:val="ListParagraph"/>
        <w:numPr>
          <w:ilvl w:val="0"/>
          <w:numId w:val="1"/>
        </w:numPr>
        <w:spacing w:after="60"/>
      </w:pPr>
      <w:r>
        <w:rPr>
          <w:rFonts w:ascii="Calibri" w:cs="Calibri" w:eastAsia="Calibri" w:hAnsi="Calibri"/>
          <w:sz w:val="24"/>
          <w:szCs w:val="24"/>
        </w:rPr>
        <w:t xml:space="preserve">the display name (pseudonym) chosen by the Data Subject;</w:t>
      </w:r>
    </w:p>
    <w:p>
      <w:pPr>
        <w:pStyle w:val="ListParagraph"/>
        <w:numPr>
          <w:ilvl w:val="0"/>
          <w:numId w:val="1"/>
        </w:numPr>
        <w:spacing w:after="60"/>
      </w:pPr>
      <w:r>
        <w:rPr>
          <w:rFonts w:ascii="Calibri" w:cs="Calibri" w:eastAsia="Calibri" w:hAnsi="Calibri"/>
          <w:sz w:val="24"/>
          <w:szCs w:val="24"/>
        </w:rPr>
        <w:t xml:space="preserve">the city given by the Data Subject at registration;</w:t>
      </w:r>
    </w:p>
    <w:p>
      <w:pPr>
        <w:pStyle w:val="ListParagraph"/>
        <w:numPr>
          <w:ilvl w:val="0"/>
          <w:numId w:val="1"/>
        </w:numPr>
        <w:spacing w:after="60"/>
      </w:pPr>
      <w:r>
        <w:rPr>
          <w:rFonts w:ascii="Calibri" w:cs="Calibri" w:eastAsia="Calibri" w:hAnsi="Calibri"/>
          <w:sz w:val="24"/>
          <w:szCs w:val="24"/>
        </w:rPr>
        <w:t xml:space="preserve">the age of the Data Subject in full years;</w:t>
      </w:r>
    </w:p>
    <w:p>
      <w:pPr>
        <w:pStyle w:val="ListParagraph"/>
        <w:numPr>
          <w:ilvl w:val="0"/>
          <w:numId w:val="1"/>
        </w:numPr>
        <w:spacing w:after="60"/>
      </w:pPr>
      <w:r>
        <w:rPr>
          <w:rFonts w:ascii="Calibri" w:cs="Calibri" w:eastAsia="Calibri" w:hAnsi="Calibri"/>
          <w:sz w:val="24"/>
          <w:szCs w:val="24"/>
        </w:rPr>
        <w:t xml:space="preserve">a link and a QR code to the Data Subject's public manuscript page in the service.</w:t>
      </w:r>
    </w:p>
    <w:p>
      <w:pPr>
        <w:spacing w:after="120"/>
      </w:pPr>
      <w:r>
        <w:rPr>
          <w:rFonts w:ascii="Calibri" w:cs="Calibri" w:eastAsia="Calibri" w:hAnsi="Calibri"/>
          <w:sz w:val="24"/>
          <w:szCs w:val="24"/>
        </w:rPr>
        <w:t xml:space="preserve">Permission is given for each category separately: the Data Subject ticks each of the five in the application. An unticked category is not permitted for publication.</w:t>
      </w:r>
    </w:p>
    <w:p>
      <w:pPr>
        <w:spacing w:after="120"/>
      </w:pPr>
      <w:r>
        <w:rPr>
          <w:rFonts w:ascii="Calibri" w:cs="Calibri" w:eastAsia="Calibri" w:hAnsi="Calibri"/>
          <w:sz w:val="24"/>
          <w:szCs w:val="24"/>
        </w:rPr>
        <w:t xml:space="preserve">Partial permission is not available. Publication takes place only where all five categories have been ticked; if any one of them is not ticked, nothing is published and none of the Data Subject's personal data is placed on the accounts listed in section 4. The choice is therefore to permit publication of all five categories together, or not to permit publication at all.</w:t>
      </w:r>
    </w:p>
    <w:p>
      <w:pPr>
        <w:spacing w:after="120"/>
      </w:pPr>
      <w:r>
        <w:rPr>
          <w:rFonts w:ascii="Calibri" w:cs="Calibri" w:eastAsia="Calibri" w:hAnsi="Calibri"/>
          <w:sz w:val="24"/>
          <w:szCs w:val="24"/>
        </w:rPr>
        <w:t xml:space="preserve">The display name, city and age are already accessible to the public on the manuscript page that the card's own link and QR code resolve to. Including them in the image does not widen the group of people to whom they are available.</w:t>
      </w:r>
    </w:p>
    <w:p>
      <w:pPr>
        <w:spacing w:after="150" w:before="300"/>
      </w:pPr>
      <w:r>
        <w:rPr>
          <w:rFonts w:ascii="Calibri" w:cs="Calibri" w:eastAsia="Calibri" w:hAnsi="Calibri"/>
          <w:b/>
          <w:bCs/>
          <w:sz w:val="28"/>
          <w:szCs w:val="28"/>
        </w:rPr>
        <w:t xml:space="preserve">4. Where it will be published</w:t>
      </w:r>
    </w:p>
    <w:p>
      <w:pPr>
        <w:spacing w:after="120"/>
      </w:pPr>
      <w:r>
        <w:rPr>
          <w:rFonts w:ascii="Calibri" w:cs="Calibri" w:eastAsia="Calibri" w:hAnsi="Calibri"/>
          <w:sz w:val="24"/>
          <w:szCs w:val="24"/>
        </w:rPr>
        <w:t xml:space="preserve">Personal data permitted for distribution is placed solely on the Operator's own public accounts listed below:</w:t>
      </w:r>
    </w:p>
    <w:p>
      <w:pPr>
        <w:pStyle w:val="ListParagraph"/>
        <w:numPr>
          <w:ilvl w:val="0"/>
          <w:numId w:val="1"/>
        </w:numPr>
        <w:spacing w:after="60"/>
      </w:pPr>
      <w:r>
        <w:rPr>
          <w:rFonts w:ascii="Calibri" w:cs="Calibri" w:eastAsia="Calibri" w:hAnsi="Calibri"/>
          <w:sz w:val="24"/>
          <w:szCs w:val="24"/>
        </w:rPr>
        <w:t xml:space="preserve">the Anketta channel on Telegram — https://t.me/anketta_dating;</w:t>
      </w:r>
    </w:p>
    <w:p>
      <w:pPr>
        <w:pStyle w:val="ListParagraph"/>
        <w:numPr>
          <w:ilvl w:val="0"/>
          <w:numId w:val="1"/>
        </w:numPr>
        <w:spacing w:after="60"/>
      </w:pPr>
      <w:r>
        <w:rPr>
          <w:rFonts w:ascii="Calibri" w:cs="Calibri" w:eastAsia="Calibri" w:hAnsi="Calibri"/>
          <w:sz w:val="24"/>
          <w:szCs w:val="24"/>
        </w:rPr>
        <w:t xml:space="preserve">the Anketta community on VKontakte — https://vk.ru/anketta;</w:t>
      </w:r>
    </w:p>
    <w:p>
      <w:pPr>
        <w:spacing w:after="120"/>
      </w:pPr>
      <w:r>
        <w:rPr>
          <w:rFonts w:ascii="Calibri" w:cs="Calibri" w:eastAsia="Calibri" w:hAnsi="Calibri"/>
          <w:sz w:val="24"/>
          <w:szCs w:val="24"/>
        </w:rPr>
        <w:t xml:space="preserve">This list is exhaustive. Placing personal data on any other resource requires a separate consent.</w:t>
      </w:r>
    </w:p>
    <w:p>
      <w:pPr>
        <w:spacing w:after="120"/>
      </w:pPr>
      <w:r>
        <w:rPr>
          <w:rFonts w:ascii="Calibri" w:cs="Calibri" w:eastAsia="Calibri" w:hAnsi="Calibri"/>
          <w:sz w:val="24"/>
          <w:szCs w:val="24"/>
        </w:rPr>
        <w:t xml:space="preserve">The list of accounts on which the Data Subject permits placement is fixed at the moment the consent is given and is recorded by the Operator together with the version of this document. An account not in that recorded list is not used to distribute the Data Subject's personal data.</w:t>
      </w:r>
    </w:p>
    <w:p>
      <w:pPr>
        <w:spacing w:after="120"/>
      </w:pPr>
      <w:r>
        <w:rPr>
          <w:rFonts w:ascii="Calibri" w:cs="Calibri" w:eastAsia="Calibri" w:hAnsi="Calibri"/>
          <w:sz w:val="24"/>
          <w:szCs w:val="24"/>
        </w:rPr>
        <w:t xml:space="preserve">A later change of the interface language of the service neither changes nor widens a consent already given: the recorded list of permitted accounts remains the one fixed at the moment it was given. The list is widened only by obtaining a new consent.</w:t>
      </w:r>
    </w:p>
    <w:p>
      <w:pPr>
        <w:spacing w:after="120"/>
      </w:pPr>
      <w:r>
        <w:rPr>
          <w:rFonts w:ascii="Calibri" w:cs="Calibri" w:eastAsia="Calibri" w:hAnsi="Calibri"/>
          <w:sz w:val="24"/>
          <w:szCs w:val="24"/>
        </w:rPr>
        <w:t xml:space="preserve">Both accounts are public. Once published, the card can be viewed, saved, copied and forwarded by anyone, including by people outside the European Economic Area, and copies made by third parties are outside the Operator's control. Removal by the Operator under section 10 removes the Operator's own publication; it cannot recall copies that others have already made.</w:t>
      </w:r>
    </w:p>
    <w:p>
      <w:pPr>
        <w:spacing w:after="150" w:before="300"/>
      </w:pPr>
      <w:r>
        <w:rPr>
          <w:rFonts w:ascii="Calibri" w:cs="Calibri" w:eastAsia="Calibri" w:hAnsi="Calibri"/>
          <w:b/>
          <w:bCs/>
          <w:sz w:val="28"/>
          <w:szCs w:val="28"/>
        </w:rPr>
        <w:t xml:space="preserve">5. Why it will be published</w:t>
      </w:r>
    </w:p>
    <w:p>
      <w:pPr>
        <w:spacing w:after="120"/>
      </w:pPr>
      <w:r>
        <w:rPr>
          <w:rFonts w:ascii="Calibri" w:cs="Calibri" w:eastAsia="Calibri" w:hAnsi="Calibri"/>
          <w:sz w:val="24"/>
          <w:szCs w:val="24"/>
        </w:rPr>
        <w:t xml:space="preserve">Personal data is processed for the following purposes:</w:t>
      </w:r>
    </w:p>
    <w:p>
      <w:pPr>
        <w:pStyle w:val="ListParagraph"/>
        <w:numPr>
          <w:ilvl w:val="0"/>
          <w:numId w:val="1"/>
        </w:numPr>
        <w:spacing w:after="60"/>
      </w:pPr>
      <w:r>
        <w:rPr>
          <w:rFonts w:ascii="Calibri" w:cs="Calibri" w:eastAsia="Calibri" w:hAnsi="Calibri"/>
          <w:sz w:val="24"/>
          <w:szCs w:val="24"/>
        </w:rPr>
        <w:t xml:space="preserve">giving the public access to the passage from the Data Subject's manuscript and to the accompanying information permitted for distribution;</w:t>
      </w:r>
    </w:p>
    <w:p>
      <w:pPr>
        <w:pStyle w:val="ListParagraph"/>
        <w:numPr>
          <w:ilvl w:val="0"/>
          <w:numId w:val="1"/>
        </w:numPr>
        <w:spacing w:after="60"/>
      </w:pPr>
      <w:r>
        <w:rPr>
          <w:rFonts w:ascii="Calibri" w:cs="Calibri" w:eastAsia="Calibri" w:hAnsi="Calibri"/>
          <w:sz w:val="24"/>
          <w:szCs w:val="24"/>
        </w:rPr>
        <w:t xml:space="preserve">increasing the number of readers of the Data Subject's manuscript in the Anketta service;</w:t>
      </w:r>
    </w:p>
    <w:p>
      <w:pPr>
        <w:pStyle w:val="ListParagraph"/>
        <w:numPr>
          <w:ilvl w:val="0"/>
          <w:numId w:val="1"/>
        </w:numPr>
        <w:spacing w:after="60"/>
      </w:pPr>
      <w:r>
        <w:rPr>
          <w:rFonts w:ascii="Calibri" w:cs="Calibri" w:eastAsia="Calibri" w:hAnsi="Calibri"/>
          <w:sz w:val="24"/>
          <w:szCs w:val="24"/>
        </w:rPr>
        <w:t xml:space="preserve">informing readers that the Data Subject's manuscript can be read in the application;</w:t>
      </w:r>
    </w:p>
    <w:p>
      <w:pPr>
        <w:pStyle w:val="ListParagraph"/>
        <w:numPr>
          <w:ilvl w:val="0"/>
          <w:numId w:val="1"/>
        </w:numPr>
        <w:spacing w:after="60"/>
      </w:pPr>
      <w:r>
        <w:rPr>
          <w:rFonts w:ascii="Calibri" w:cs="Calibri" w:eastAsia="Calibri" w:hAnsi="Calibri"/>
          <w:sz w:val="24"/>
          <w:szCs w:val="24"/>
        </w:rPr>
        <w:t xml:space="preserve">promoting the Anketta service — using the passage and the accompanying information permitted for distribution in the Operator's informational and promotional materials placed on the accounts listed in section 4.</w:t>
      </w:r>
    </w:p>
    <w:p>
      <w:pPr>
        <w:spacing w:after="120"/>
      </w:pPr>
      <w:r>
        <w:rPr>
          <w:rFonts w:ascii="Calibri" w:cs="Calibri" w:eastAsia="Calibri" w:hAnsi="Calibri"/>
          <w:sz w:val="24"/>
          <w:szCs w:val="24"/>
        </w:rPr>
        <w:t xml:space="preserve">The same image — the card, whose composition is fixed by section 3 and does not vary — is used for all of these purposes. This consent does not permit the Operator to create any other material from the Data Subject's personal data.</w:t>
      </w:r>
    </w:p>
    <w:p>
      <w:pPr>
        <w:spacing w:after="150" w:before="300"/>
      </w:pPr>
      <w:r>
        <w:rPr>
          <w:rFonts w:ascii="Calibri" w:cs="Calibri" w:eastAsia="Calibri" w:hAnsi="Calibri"/>
          <w:b/>
          <w:bCs/>
          <w:sz w:val="28"/>
          <w:szCs w:val="28"/>
        </w:rPr>
        <w:t xml:space="preserve">6. Legal basis for the processing</w:t>
      </w:r>
    </w:p>
    <w:p>
      <w:pPr>
        <w:spacing w:after="120"/>
      </w:pPr>
      <w:r>
        <w:rPr>
          <w:rFonts w:ascii="Calibri" w:cs="Calibri" w:eastAsia="Calibri" w:hAnsi="Calibri"/>
          <w:sz w:val="24"/>
          <w:szCs w:val="24"/>
        </w:rPr>
        <w:t xml:space="preserve">The legal basis for this processing is the Data Subject's consent, under Article 6(1)(a) of the GDPR. The consent is given freely: the feature is optional, it is offered at no charge, and neither refusing it nor withdrawing it affects access to the service or to any other part of it.</w:t>
      </w:r>
    </w:p>
    <w:p>
      <w:pPr>
        <w:spacing w:after="120"/>
      </w:pPr>
      <w:r>
        <w:rPr>
          <w:rFonts w:ascii="Calibri" w:cs="Calibri" w:eastAsia="Calibri" w:hAnsi="Calibri"/>
          <w:sz w:val="24"/>
          <w:szCs w:val="24"/>
        </w:rPr>
        <w:t xml:space="preserve">No processing under this consent begins before the consent is given, and all processing under it stops when it is withdrawn.</w:t>
      </w:r>
    </w:p>
    <w:p>
      <w:pPr>
        <w:spacing w:after="150" w:before="300"/>
      </w:pPr>
      <w:r>
        <w:rPr>
          <w:rFonts w:ascii="Calibri" w:cs="Calibri" w:eastAsia="Calibri" w:hAnsi="Calibri"/>
          <w:b/>
          <w:bCs/>
          <w:sz w:val="28"/>
          <w:szCs w:val="28"/>
        </w:rPr>
        <w:t xml:space="preserve">7. International transfers, and the risks of them</w:t>
      </w:r>
    </w:p>
    <w:p>
      <w:pPr>
        <w:spacing w:after="120"/>
      </w:pPr>
      <w:r>
        <w:rPr>
          <w:rFonts w:ascii="Calibri" w:cs="Calibri" w:eastAsia="Calibri" w:hAnsi="Calibri"/>
          <w:sz w:val="24"/>
          <w:szCs w:val="24"/>
        </w:rPr>
        <w:t xml:space="preserve">Publication under this consent involves a transfer of personal data outside the European Economic Area:</w:t>
      </w:r>
    </w:p>
    <w:p>
      <w:pPr>
        <w:pStyle w:val="ListParagraph"/>
        <w:numPr>
          <w:ilvl w:val="0"/>
          <w:numId w:val="1"/>
        </w:numPr>
        <w:spacing w:after="60"/>
      </w:pPr>
      <w:r>
        <w:rPr>
          <w:rFonts w:ascii="Calibri" w:cs="Calibri" w:eastAsia="Calibri" w:hAnsi="Calibri"/>
          <w:sz w:val="24"/>
          <w:szCs w:val="24"/>
        </w:rPr>
        <w:t xml:space="preserve">the Telegram channel is operated on a platform provided by Telegram FZ-LLC, established in the United Arab Emirates;</w:t>
      </w:r>
    </w:p>
    <w:p>
      <w:pPr>
        <w:pStyle w:val="ListParagraph"/>
        <w:numPr>
          <w:ilvl w:val="0"/>
          <w:numId w:val="1"/>
        </w:numPr>
        <w:spacing w:after="60"/>
      </w:pPr>
      <w:r>
        <w:rPr>
          <w:rFonts w:ascii="Calibri" w:cs="Calibri" w:eastAsia="Calibri" w:hAnsi="Calibri"/>
          <w:sz w:val="24"/>
          <w:szCs w:val="24"/>
        </w:rPr>
        <w:t xml:space="preserve">the VKontakte community is operated on a platform provided by VK, established in the Russian Federation.</w:t>
      </w:r>
    </w:p>
    <w:p>
      <w:pPr>
        <w:spacing w:after="120"/>
      </w:pPr>
      <w:r>
        <w:rPr>
          <w:rFonts w:ascii="Calibri" w:cs="Calibri" w:eastAsia="Calibri" w:hAnsi="Calibri"/>
          <w:sz w:val="24"/>
          <w:szCs w:val="24"/>
        </w:rPr>
        <w:t xml:space="preserve">The European Commission has not adopted an adequacy decision under Article 45 of the GDPR in respect of either the United Arab Emirates or the Russian Federation, and the Operator does not rely on any of the appropriate safeguards listed in Article 46 of the GDPR for these transfers.</w:t>
      </w:r>
    </w:p>
    <w:p>
      <w:pPr>
        <w:spacing w:after="120"/>
      </w:pPr>
      <w:r>
        <w:rPr>
          <w:rFonts w:ascii="Calibri" w:cs="Calibri" w:eastAsia="Calibri" w:hAnsi="Calibri"/>
          <w:sz w:val="24"/>
          <w:szCs w:val="24"/>
        </w:rPr>
        <w:t xml:space="preserve">The transfer therefore takes place on the basis of the Data Subject's explicit consent under Article 49(1)(a) of the GDPR. The Data Subject is expressly informed of the following possible risks of such a transfer:</w:t>
      </w:r>
    </w:p>
    <w:p>
      <w:pPr>
        <w:pStyle w:val="ListParagraph"/>
        <w:numPr>
          <w:ilvl w:val="0"/>
          <w:numId w:val="1"/>
        </w:numPr>
        <w:spacing w:after="60"/>
      </w:pPr>
      <w:r>
        <w:rPr>
          <w:rFonts w:ascii="Calibri" w:cs="Calibri" w:eastAsia="Calibri" w:hAnsi="Calibri"/>
          <w:sz w:val="24"/>
          <w:szCs w:val="24"/>
        </w:rPr>
        <w:t xml:space="preserve">the recipient countries do not provide a level of protection of personal data that the European Commission has found to be essentially equivalent to that of the European Economic Area;</w:t>
      </w:r>
    </w:p>
    <w:p>
      <w:pPr>
        <w:pStyle w:val="ListParagraph"/>
        <w:numPr>
          <w:ilvl w:val="0"/>
          <w:numId w:val="1"/>
        </w:numPr>
        <w:spacing w:after="60"/>
      </w:pPr>
      <w:r>
        <w:rPr>
          <w:rFonts w:ascii="Calibri" w:cs="Calibri" w:eastAsia="Calibri" w:hAnsi="Calibri"/>
          <w:sz w:val="24"/>
          <w:szCs w:val="24"/>
        </w:rPr>
        <w:t xml:space="preserve">public authorities in those countries may be able to access the data under national law, potentially on broader grounds and with fewer limitations than would apply in the European Economic Area;</w:t>
      </w:r>
    </w:p>
    <w:p>
      <w:pPr>
        <w:pStyle w:val="ListParagraph"/>
        <w:numPr>
          <w:ilvl w:val="0"/>
          <w:numId w:val="1"/>
        </w:numPr>
        <w:spacing w:after="60"/>
      </w:pPr>
      <w:r>
        <w:rPr>
          <w:rFonts w:ascii="Calibri" w:cs="Calibri" w:eastAsia="Calibri" w:hAnsi="Calibri"/>
          <w:sz w:val="24"/>
          <w:szCs w:val="24"/>
        </w:rPr>
        <w:t xml:space="preserve">the rights conferred by the GDPR — including access, rectification, erasure and an effective judicial remedy — may not be enforceable against those platforms in those countries, or may be substantially harder to enforce;</w:t>
      </w:r>
    </w:p>
    <w:p>
      <w:pPr>
        <w:pStyle w:val="ListParagraph"/>
        <w:numPr>
          <w:ilvl w:val="0"/>
          <w:numId w:val="1"/>
        </w:numPr>
        <w:spacing w:after="60"/>
      </w:pPr>
      <w:r>
        <w:rPr>
          <w:rFonts w:ascii="Calibri" w:cs="Calibri" w:eastAsia="Calibri" w:hAnsi="Calibri"/>
          <w:sz w:val="24"/>
          <w:szCs w:val="24"/>
        </w:rPr>
        <w:t xml:space="preserve">the Operator has no control over any further processing that a platform carries out on data placed on it.</w:t>
      </w:r>
    </w:p>
    <w:p>
      <w:pPr>
        <w:spacing w:after="120"/>
      </w:pPr>
      <w:r>
        <w:rPr>
          <w:rFonts w:ascii="Calibri" w:cs="Calibri" w:eastAsia="Calibri" w:hAnsi="Calibri"/>
          <w:sz w:val="24"/>
          <w:szCs w:val="24"/>
        </w:rPr>
        <w:t xml:space="preserve">The Data Subject's attention is drawn to the fact that the data placed under this consent is intended to be public. The transfer is not an incidental consequence of publication — it is what publication consists of.</w:t>
      </w:r>
    </w:p>
    <w:p>
      <w:pPr>
        <w:spacing w:after="120"/>
      </w:pPr>
      <w:r>
        <w:rPr>
          <w:rFonts w:ascii="Calibri" w:cs="Calibri" w:eastAsia="Calibri" w:hAnsi="Calibri"/>
          <w:sz w:val="24"/>
          <w:szCs w:val="24"/>
        </w:rPr>
        <w:t xml:space="preserve">The Data Subject may decline this transfer by not giving this consent, or end it for the future by withdrawing the consent under section 10, in either case without any consequence for their use of the service.</w:t>
      </w:r>
    </w:p>
    <w:p>
      <w:pPr>
        <w:spacing w:after="150" w:before="300"/>
      </w:pPr>
      <w:r>
        <w:rPr>
          <w:rFonts w:ascii="Calibri" w:cs="Calibri" w:eastAsia="Calibri" w:hAnsi="Calibri"/>
          <w:b/>
          <w:bCs/>
          <w:sz w:val="28"/>
          <w:szCs w:val="28"/>
        </w:rPr>
        <w:t xml:space="preserve">8. What will never be published</w:t>
      </w:r>
    </w:p>
    <w:p>
      <w:pPr>
        <w:spacing w:after="120"/>
      </w:pPr>
      <w:r>
        <w:rPr>
          <w:rFonts w:ascii="Calibri" w:cs="Calibri" w:eastAsia="Calibri" w:hAnsi="Calibri"/>
          <w:sz w:val="24"/>
          <w:szCs w:val="24"/>
        </w:rPr>
        <w:t xml:space="preserve">The following prohibitions apply regardless of the ticks made under section 3:</w:t>
      </w:r>
    </w:p>
    <w:p>
      <w:pPr>
        <w:pStyle w:val="ListParagraph"/>
        <w:numPr>
          <w:ilvl w:val="0"/>
          <w:numId w:val="1"/>
        </w:numPr>
        <w:spacing w:after="60"/>
      </w:pPr>
      <w:r>
        <w:rPr>
          <w:rFonts w:ascii="Calibri" w:cs="Calibri" w:eastAsia="Calibri" w:hAnsi="Calibri"/>
          <w:sz w:val="24"/>
          <w:szCs w:val="24"/>
        </w:rPr>
        <w:t xml:space="preserve">no username, telephone number, email address or any other contact detail of the Data Subject may be distributed;</w:t>
      </w:r>
    </w:p>
    <w:p>
      <w:pPr>
        <w:pStyle w:val="ListParagraph"/>
        <w:numPr>
          <w:ilvl w:val="0"/>
          <w:numId w:val="1"/>
        </w:numPr>
        <w:spacing w:after="60"/>
      </w:pPr>
      <w:r>
        <w:rPr>
          <w:rFonts w:ascii="Calibri" w:cs="Calibri" w:eastAsia="Calibri" w:hAnsi="Calibri"/>
          <w:sz w:val="24"/>
          <w:szCs w:val="24"/>
        </w:rPr>
        <w:t xml:space="preserve">no photograph or other image of the Data Subject may be distributed;</w:t>
      </w:r>
    </w:p>
    <w:p>
      <w:pPr>
        <w:pStyle w:val="ListParagraph"/>
        <w:numPr>
          <w:ilvl w:val="0"/>
          <w:numId w:val="1"/>
        </w:numPr>
        <w:spacing w:after="60"/>
      </w:pPr>
      <w:r>
        <w:rPr>
          <w:rFonts w:ascii="Calibri" w:cs="Calibri" w:eastAsia="Calibri" w:hAnsi="Calibri"/>
          <w:sz w:val="24"/>
          <w:szCs w:val="24"/>
        </w:rPr>
        <w:t xml:space="preserve">no data belonging to the special categories of personal data referred to in Article 9 of the GDPR, and no biometric data, may be distributed;</w:t>
      </w:r>
    </w:p>
    <w:p>
      <w:pPr>
        <w:pStyle w:val="ListParagraph"/>
        <w:numPr>
          <w:ilvl w:val="0"/>
          <w:numId w:val="1"/>
        </w:numPr>
        <w:spacing w:after="60"/>
      </w:pPr>
      <w:r>
        <w:rPr>
          <w:rFonts w:ascii="Calibri" w:cs="Calibri" w:eastAsia="Calibri" w:hAnsi="Calibri"/>
          <w:sz w:val="24"/>
          <w:szCs w:val="24"/>
        </w:rPr>
        <w:t xml:space="preserve">personal data permitted for distribution may not be passed to third parties for any purpose not listed in section 5.</w:t>
      </w:r>
    </w:p>
    <w:p>
      <w:pPr>
        <w:spacing w:after="120"/>
      </w:pPr>
      <w:r>
        <w:rPr>
          <w:rFonts w:ascii="Calibri" w:cs="Calibri" w:eastAsia="Calibri" w:hAnsi="Calibri"/>
          <w:sz w:val="24"/>
          <w:szCs w:val="24"/>
        </w:rPr>
        <w:t xml:space="preserve">Publication does not open a channel of direct contact with the Data Subject: the published material contains no contact details, and messaging within the service is possible only after two users have each marked the other's manuscript as liked.</w:t>
      </w:r>
    </w:p>
    <w:p>
      <w:pPr>
        <w:spacing w:after="150" w:before="300"/>
      </w:pPr>
      <w:r>
        <w:rPr>
          <w:rFonts w:ascii="Calibri" w:cs="Calibri" w:eastAsia="Calibri" w:hAnsi="Calibri"/>
          <w:b/>
          <w:bCs/>
          <w:sz w:val="28"/>
          <w:szCs w:val="28"/>
        </w:rPr>
        <w:t xml:space="preserve">9. How long the publication and this record last</w:t>
      </w:r>
    </w:p>
    <w:p>
      <w:pPr>
        <w:spacing w:after="120"/>
      </w:pPr>
      <w:r>
        <w:rPr>
          <w:rFonts w:ascii="Calibri" w:cs="Calibri" w:eastAsia="Calibri" w:hAnsi="Calibri"/>
          <w:sz w:val="24"/>
          <w:szCs w:val="24"/>
        </w:rPr>
        <w:t xml:space="preserve">A publication remains in place until the Data Subject withdraws this consent or the Operator removes it, whichever happens first.</w:t>
      </w:r>
    </w:p>
    <w:p>
      <w:pPr>
        <w:spacing w:after="120"/>
      </w:pPr>
      <w:r>
        <w:rPr>
          <w:rFonts w:ascii="Calibri" w:cs="Calibri" w:eastAsia="Calibri" w:hAnsi="Calibri"/>
          <w:sz w:val="24"/>
          <w:szCs w:val="24"/>
        </w:rPr>
        <w:t xml:space="preserve">The record of the consent itself — the categories ticked, the accounts permitted, the version of this document and the date — is retained for as long as the account exists and for the period thereafter during which the Operator may be required to demonstrate that the consent was given, as provided by Article 7(1) of the GDPR. It is retained for that evidential purpose only, and is never used to publish anything after a withdrawal.</w:t>
      </w:r>
    </w:p>
    <w:p>
      <w:pPr>
        <w:spacing w:after="150" w:before="300"/>
      </w:pPr>
      <w:r>
        <w:rPr>
          <w:rFonts w:ascii="Calibri" w:cs="Calibri" w:eastAsia="Calibri" w:hAnsi="Calibri"/>
          <w:b/>
          <w:bCs/>
          <w:sz w:val="28"/>
          <w:szCs w:val="28"/>
        </w:rPr>
        <w:t xml:space="preserve">10. Withdrawing this consent</w:t>
      </w:r>
    </w:p>
    <w:p>
      <w:pPr>
        <w:spacing w:after="120"/>
      </w:pPr>
      <w:r>
        <w:rPr>
          <w:rFonts w:ascii="Calibri" w:cs="Calibri" w:eastAsia="Calibri" w:hAnsi="Calibri"/>
          <w:sz w:val="24"/>
          <w:szCs w:val="24"/>
        </w:rPr>
        <w:t xml:space="preserve">The Data Subject has the right to withdraw this consent at any time, under Article 7(3) of the GDPR. Withdrawing it is as easy as giving it: turning publication off in the profile settings of the Anketta application is a single action, and it withdraws this consent in full.</w:t>
      </w:r>
    </w:p>
    <w:p>
      <w:pPr>
        <w:spacing w:after="120"/>
      </w:pPr>
      <w:r>
        <w:rPr>
          <w:rFonts w:ascii="Calibri" w:cs="Calibri" w:eastAsia="Calibri" w:hAnsi="Calibri"/>
          <w:sz w:val="24"/>
          <w:szCs w:val="24"/>
        </w:rPr>
        <w:t xml:space="preserve">Where a card is already published, a separate "Remove from channel" control takes down every published card at once. That ends the distribution, but it does not by itself withdraw this consent: the profile setting is what withdraws it.</w:t>
      </w:r>
    </w:p>
    <w:p>
      <w:pPr>
        <w:spacing w:after="120"/>
      </w:pPr>
      <w:r>
        <w:rPr>
          <w:rFonts w:ascii="Calibri" w:cs="Calibri" w:eastAsia="Calibri" w:hAnsi="Calibri"/>
          <w:sz w:val="24"/>
          <w:szCs w:val="24"/>
        </w:rPr>
        <w:t xml:space="preserve">On withdrawal the Operator removes the previously placed publication from the accounts listed in section 4. The Operator does so without undue delay, and in any event within three business days of receiving the request.</w:t>
      </w:r>
    </w:p>
    <w:p>
      <w:pPr>
        <w:spacing w:after="120"/>
      </w:pPr>
      <w:r>
        <w:rPr>
          <w:rFonts w:ascii="Calibri" w:cs="Calibri" w:eastAsia="Calibri" w:hAnsi="Calibri"/>
          <w:sz w:val="24"/>
          <w:szCs w:val="24"/>
        </w:rPr>
        <w:t xml:space="preserve">A withdrawal may also be sent by email to legal@mail.anketta.ru.</w:t>
      </w:r>
    </w:p>
    <w:p>
      <w:pPr>
        <w:spacing w:after="120"/>
      </w:pPr>
      <w:r>
        <w:rPr>
          <w:rFonts w:ascii="Calibri" w:cs="Calibri" w:eastAsia="Calibri" w:hAnsi="Calibri"/>
          <w:sz w:val="24"/>
          <w:szCs w:val="24"/>
        </w:rPr>
        <w:t xml:space="preserve">Withdrawal does not affect the lawfulness of processing carried out on the basis of this consent before it was withdrawn, and it does not restrict any further use of the Anketta service.</w:t>
      </w:r>
    </w:p>
    <w:p>
      <w:pPr>
        <w:spacing w:after="150" w:before="300"/>
      </w:pPr>
      <w:r>
        <w:rPr>
          <w:rFonts w:ascii="Calibri" w:cs="Calibri" w:eastAsia="Calibri" w:hAnsi="Calibri"/>
          <w:b/>
          <w:bCs/>
          <w:sz w:val="28"/>
          <w:szCs w:val="28"/>
        </w:rPr>
        <w:t xml:space="preserve">11. Other rights under the GDPR</w:t>
      </w:r>
    </w:p>
    <w:p>
      <w:pPr>
        <w:spacing w:after="120"/>
      </w:pPr>
      <w:r>
        <w:rPr>
          <w:rFonts w:ascii="Calibri" w:cs="Calibri" w:eastAsia="Calibri" w:hAnsi="Calibri"/>
          <w:sz w:val="24"/>
          <w:szCs w:val="24"/>
        </w:rPr>
        <w:t xml:space="preserve">In relation to this processing the Data Subject has the right to request access to their personal data (Article 15), rectification of it (Article 16), erasure of it (Article 17), restriction of its processing (Article 18) and its portability (Article 20). Such requests may be sent to legal@mail.anketta.ru.</w:t>
      </w:r>
    </w:p>
    <w:p>
      <w:pPr>
        <w:spacing w:after="120"/>
      </w:pPr>
      <w:r>
        <w:rPr>
          <w:rFonts w:ascii="Calibri" w:cs="Calibri" w:eastAsia="Calibri" w:hAnsi="Calibri"/>
          <w:sz w:val="24"/>
          <w:szCs w:val="24"/>
        </w:rPr>
        <w:t xml:space="preserve">The Data Subject also has the right to lodge a complaint with a supervisory authority under Article 77 of the GDPR — in particular with the authority of the Member State of their habitual residence, their place of work, or the place of the alleged infringement.</w:t>
      </w:r>
    </w:p>
    <w:p>
      <w:pPr>
        <w:spacing w:after="150" w:before="300"/>
      </w:pPr>
      <w:r>
        <w:rPr>
          <w:rFonts w:ascii="Calibri" w:cs="Calibri" w:eastAsia="Calibri" w:hAnsi="Calibri"/>
          <w:b/>
          <w:bCs/>
          <w:sz w:val="28"/>
          <w:szCs w:val="28"/>
        </w:rPr>
        <w:t xml:space="preserve">12. How this consent is given</w:t>
      </w:r>
    </w:p>
    <w:p>
      <w:pPr>
        <w:spacing w:after="120"/>
      </w:pPr>
      <w:r>
        <w:rPr>
          <w:rFonts w:ascii="Calibri" w:cs="Calibri" w:eastAsia="Calibri" w:hAnsi="Calibri"/>
          <w:sz w:val="24"/>
          <w:szCs w:val="24"/>
        </w:rPr>
        <w:t xml:space="preserve">This consent is given by an affirmative action in the Anketta application: the Data Subject ticks each of the five categories listed in section 3 and then presses the publication button. Until all five have been ticked the button is inactive and the consent cannot be given. Nothing is ticked in advance, and no tick is ever made on the Data Subject's behalf. Silence, pre-ticked boxes and inactivity do not constitute consent.</w:t>
      </w:r>
    </w:p>
    <w:p>
      <w:pPr>
        <w:spacing w:after="120"/>
      </w:pPr>
      <w:r>
        <w:rPr>
          <w:rFonts w:ascii="Calibri" w:cs="Calibri" w:eastAsia="Calibri" w:hAnsi="Calibri"/>
          <w:sz w:val="24"/>
          <w:szCs w:val="24"/>
        </w:rPr>
        <w:t xml:space="preserve">The version of this document that the Data Subject was shown is recorded together with their choice.</w:t>
      </w:r>
    </w:p>
    <w:p>
      <w:pPr>
        <w:spacing w:after="120"/>
      </w:pPr>
    </w:p>
    <w:p>
      <w:pPr>
        <w:spacing w:after="100" w:before="200"/>
      </w:pPr>
      <w:r>
        <w:rPr>
          <w:rFonts w:ascii="Calibri" w:cs="Calibri" w:eastAsia="Calibri" w:hAnsi="Calibri"/>
          <w:b/>
          <w:bCs/>
          <w:sz w:val="26"/>
          <w:szCs w:val="26"/>
        </w:rPr>
        <w:t xml:space="preserve">Operator Details</w:t>
      </w:r>
    </w:p>
    <w:p>
      <w:pPr>
        <w:spacing w:after="120"/>
      </w:pPr>
      <w:r>
        <w:rPr>
          <w:rFonts w:ascii="Calibri" w:cs="Calibri" w:eastAsia="Calibri" w:hAnsi="Calibri"/>
          <w:sz w:val="24"/>
          <w:szCs w:val="24"/>
        </w:rPr>
        <w:t xml:space="preserve">Name: Individual Entrepreneur Evgenii Rodionov</w:t>
      </w:r>
    </w:p>
    <w:p>
      <w:pPr>
        <w:spacing w:after="120"/>
      </w:pPr>
      <w:r>
        <w:rPr>
          <w:rFonts w:ascii="Calibri" w:cs="Calibri" w:eastAsia="Calibri" w:hAnsi="Calibri"/>
          <w:sz w:val="24"/>
          <w:szCs w:val="24"/>
        </w:rPr>
        <w:t xml:space="preserve">OGRNIP: 322508100487690</w:t>
      </w:r>
    </w:p>
    <w:p>
      <w:pPr>
        <w:spacing w:after="120"/>
      </w:pPr>
      <w:r>
        <w:rPr>
          <w:rFonts w:ascii="Calibri" w:cs="Calibri" w:eastAsia="Calibri" w:hAnsi="Calibri"/>
          <w:sz w:val="24"/>
          <w:szCs w:val="24"/>
        </w:rPr>
        <w:t xml:space="preserve">INN (Tax ID): 504034486615</w:t>
      </w:r>
    </w:p>
    <w:p>
      <w:pPr>
        <w:spacing w:after="120"/>
      </w:pPr>
      <w:r>
        <w:rPr>
          <w:rFonts w:ascii="Calibri" w:cs="Calibri" w:eastAsia="Calibri" w:hAnsi="Calibri"/>
          <w:sz w:val="24"/>
          <w:szCs w:val="24"/>
        </w:rPr>
        <w:t xml:space="preserve">Address: 140125, Moscow Oblast, Ramensky District, Kulakovo Village, Tsentralnaya Street, Building 111</w:t>
      </w:r>
    </w:p>
    <w:p>
      <w:pPr>
        <w:spacing w:after="120"/>
      </w:pPr>
      <w:r>
        <w:rPr>
          <w:rFonts w:ascii="Calibri" w:cs="Calibri" w:eastAsia="Calibri" w:hAnsi="Calibri"/>
          <w:sz w:val="24"/>
          <w:szCs w:val="24"/>
        </w:rPr>
        <w:t xml:space="preserve">Phone: +7 (999) 864-55-35</w:t>
      </w:r>
    </w:p>
    <w:p>
      <w:pPr>
        <w:spacing w:after="120"/>
      </w:pPr>
      <w:r>
        <w:rPr>
          <w:rFonts w:ascii="Calibri" w:cs="Calibri" w:eastAsia="Calibri" w:hAnsi="Calibri"/>
          <w:sz w:val="24"/>
          <w:szCs w:val="24"/>
        </w:rPr>
        <w:t xml:space="preserve">Email: legal@mail.anketta.ru</w:t>
      </w:r>
    </w:p>
    <w:sectPr>
      <w:pgSz w:w="11906" w:h="16838" w:orient="portrait"/>
      <w:pgMar w:top="1440" w:right="1440"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1.%2."/>
      <w:lvlJc w:val="start"/>
      <w:pPr>
        <w:ind w:left="1440" w:hanging="7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2026-08-14T16:14:31.250Z</dcterms:created>
  <dcterms:modified xsi:type="dcterms:W3CDTF">2026-08-14T16:14:31.250Z</dcterms:modified>
</cp:coreProperties>
</file>

<file path=docProps/custom.xml><?xml version="1.0" encoding="utf-8"?>
<Properties xmlns="http://schemas.openxmlformats.org/officeDocument/2006/custom-properties" xmlns:vt="http://schemas.openxmlformats.org/officeDocument/2006/docPropsVTypes"/>
</file>